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2025-03-06</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 was prediction of LFT abnormalities and numeric LFT readouts during COVID-19 recovery by human-determined CTSS and AI-measured lung opacity and high opacity.</w:t>
      </w:r>
      <w:r>
        <w:t xml:space="preserve"> </w:t>
      </w:r>
      <w:r>
        <w:t xml:space="preserve">This endpoint was addressed by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Over- and under-fitting was assessed by learning curves</w:t>
      </w:r>
      <w:r>
        <w:t xml:space="preserve"> </w:t>
      </w:r>
      <w:r>
        <w:t xml:space="preserve">(21)</w:t>
      </w:r>
      <w:r>
        <w:t xml:space="preserve">.</w:t>
      </w:r>
      <w:r>
        <w:t xml:space="preserve"> </w:t>
      </w:r>
      <w:r>
        <w:t xml:space="preserve">Importance of explanatory variables was estimated by absolute values of SHAP statistics (Shapley additive explanations)</w:t>
      </w:r>
      <w:r>
        <w:t xml:space="preserve"> </w:t>
      </w:r>
      <w:r>
        <w:t xml:space="preserve">(22–24)</w:t>
      </w:r>
      <w:r>
        <w:t xml:space="preserve">.</w:t>
      </w:r>
      <w:r>
        <w:t xml:space="preserve"> </w:t>
      </w:r>
      <w:r>
        <w:t xml:space="preserve">Co-linearity of the most influential explanatory variables (top 15 mean absolute SHAP for each of the models of DLCO and DLCO &lt; 80%) was assessed by soft-threshold weighted graph of correlations</w:t>
      </w:r>
      <w:r>
        <w:t xml:space="preserve"> </w:t>
      </w:r>
      <w:r>
        <w:t xml:space="preserve">(25,26)</w:t>
      </w:r>
      <w:r>
        <w:t xml:space="preserve">.</w:t>
      </w:r>
      <w:r>
        <w:t xml:space="preserve"> </w:t>
      </w:r>
      <w:r>
        <w:t xml:space="preserve">The graph edges were defined by pairwise correlations with Kendall’s</w:t>
      </w:r>
      <w:r>
        <w:t xml:space="preserve"> </w:t>
      </w:r>
      <m:oMath>
        <m:r>
          <m:t>τ</m:t>
        </m:r>
        <m:r>
          <m:rPr>
            <m:sty m:val="p"/>
          </m:rPr>
          <m:t>≥</m:t>
        </m:r>
      </m:oMath>
      <w:r>
        <w:t xml:space="preserve"> </w:t>
      </w:r>
      <w:r>
        <w:t xml:space="preserve">0.3 and edge weights corresponded to</w:t>
      </w:r>
      <w:r>
        <w:t xml:space="preserve"> </w:t>
      </w:r>
      <m:oMath>
        <m:r>
          <m:t>τ</m:t>
        </m:r>
      </m:oMath>
      <w:r>
        <w:t xml:space="preserve"> </w:t>
      </w:r>
      <w:r>
        <w:t xml:space="preserve">coefficient values.</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Resolution of radiological lung findings.</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0.72 to 0.86,</w:t>
      </w:r>
      <w:r>
        <w:t xml:space="preserve"> </w:t>
      </w:r>
      <w:r>
        <w:rPr>
          <w:bCs/>
          <w:b/>
        </w:rPr>
        <w:t xml:space="preserve">Supplementary Figure S3B</w:t>
      </w:r>
      <w:r>
        <w:t xml:space="preserve">).</w:t>
      </w:r>
    </w:p>
    <w:p>
      <w:pPr>
        <w:pStyle w:val="TextBody"/>
      </w:pPr>
      <w:r>
        <w:t xml:space="preserve">Insufficient DLCO, FVC, and FEV1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reflected by decreasing rates of insufficient DLCO and FVC, and by an improvement of DLCO and FVC values expressed as percentages of the patient’s reference was the most evident in severe COVID-19 survivors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0.84), while correlation of DLCO with FVC or FEV1 was only moderate (Spearman’s</w:t>
      </w:r>
      <w:r>
        <w:t xml:space="preserve"> </w:t>
      </w:r>
      <m:oMath>
        <m:r>
          <m:t>ρ</m:t>
        </m:r>
      </m:oMath>
      <w:r>
        <w:t xml:space="preserve">: 0.35 to 0.39,</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and exertional dyspnea defined by mMRC &gt; 0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model optimization (tuning,</w:t>
      </w:r>
      <w:r>
        <w:t xml:space="preserve"> </w:t>
      </w:r>
      <w:r>
        <w:rPr>
          <w:bCs/>
          <w:b/>
        </w:rPr>
        <w:t xml:space="preserve">Supplementary Table S6</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S7</w:t>
      </w:r>
      <w:r>
        <w:t xml:space="preserve"> </w:t>
      </w:r>
      <w:r>
        <w:t xml:space="preserve">and</w:t>
      </w:r>
      <w:r>
        <w:t xml:space="preserve"> </w:t>
      </w:r>
      <w:r>
        <w:rPr>
          <w:bCs/>
          <w:b/>
        </w:rPr>
        <w:t xml:space="preserve">S8</w:t>
      </w:r>
      <w:r>
        <w:t xml:space="preserve">).</w:t>
      </w:r>
    </w:p>
    <w:p>
      <w:pPr>
        <w:pStyle w:val="TextBody"/>
      </w:pPr>
      <w:r>
        <w:t xml:space="preserve">Among the investigated LFT abnormalities, solely insufficient DLCO defined as values &lt; 80% of the patient’s reference could be modeled with satisfactory accuracy in the cross-validation setting independently of the machine learning algorithm (overall accuracy: 0.82 to 0.85, Cohen’s</w:t>
      </w:r>
      <w:r>
        <w:t xml:space="preserve"> </w:t>
      </w:r>
      <m:oMath>
        <m:r>
          <m:t>κ</m:t>
        </m:r>
      </m:oMath>
      <w:r>
        <w:t xml:space="preserve">: 0.45 to 0.5, AUC: 0.87 to 0.9).</w:t>
      </w:r>
      <w:r>
        <w:t xml:space="preserve"> </w:t>
      </w:r>
      <w:r>
        <w:t xml:space="preserve">Low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exhibited poor predictive performance in the cross-validation setting (overall accuracy: 0.72 to 0.81, Cohen’s</w:t>
      </w:r>
      <w:r>
        <w:t xml:space="preserve"> </w:t>
      </w:r>
      <m:oMath>
        <m:r>
          <m:t>κ</m:t>
        </m:r>
      </m:oMath>
      <w:r>
        <w:t xml:space="preserve">: 0.094 to 0.17, AUC: 0.57 to 0.69,</w:t>
      </w:r>
      <w:r>
        <w:t xml:space="preserve"> </w:t>
      </w:r>
      <w:r>
        <w:rPr>
          <w:bCs/>
          <w:b/>
        </w:rPr>
        <w:t xml:space="preserve">Supplementary Figure S9</w:t>
      </w:r>
      <w:r>
        <w:t xml:space="preserve">).</w:t>
      </w:r>
    </w:p>
    <w:p>
      <w:pPr>
        <w:pStyle w:val="TextBody"/>
      </w:pPr>
      <w:r>
        <w:t xml:space="preserve">As in case of the LFT abnormalities, solely DLCO expressed as percentages of the patient’s reference was modeled with sufficiently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Analogically, 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S10</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S11A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S11B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To assess under- and over-fitting, we resorted to analyses of learning curves of the models of DLCO and reduced DLCO. With this approach, we evaluated performance of the models re-trained in subsets of the modeling data set of varying sizes.</w:t>
      </w:r>
      <w:r>
        <w:t xml:space="preserve"> </w:t>
      </w:r>
      <w:r>
        <w:t xml:space="preserve">The performance evaluation was done for the training subsets, test subsets (one-forth of observations not used for the model training), and 10-repeats 10-fold cross-validation</w:t>
      </w:r>
      <w:r>
        <w:t xml:space="preserve"> </w:t>
      </w:r>
      <w:r>
        <w:t xml:space="preserve">(21)</w:t>
      </w:r>
      <w:r>
        <w:t xml:space="preserve">.</w:t>
      </w:r>
      <w:r>
        <w:t xml:space="preserve"> </w:t>
      </w:r>
      <w:r>
        <w:t xml:space="preserve">The learning curves for the best-performing GBM models are presented in</w:t>
      </w:r>
      <w:r>
        <w:t xml:space="preserve"> </w:t>
      </w:r>
      <w:r>
        <w:rPr>
          <w:bCs/>
          <w:b/>
        </w:rPr>
        <w:t xml:space="preserve">Supplementary Figure S12</w:t>
      </w:r>
      <w:r>
        <w:t xml:space="preserve">, for the remaining algorithms comparable results were obtained (not shown).</w:t>
      </w:r>
      <w:r>
        <w:t xml:space="preserve"> </w:t>
      </w:r>
      <w:r>
        <w:t xml:space="preserve">As inferred from substantial differences of accuracy and Cohen’s</w:t>
      </w:r>
      <w:r>
        <w:t xml:space="preserve"> </w:t>
      </w:r>
      <m:oMath>
        <m:r>
          <m:t>κ</m:t>
        </m:r>
      </m:oMath>
      <w:r>
        <w:t xml:space="preserve"> </w:t>
      </w:r>
      <w:r>
        <w:t xml:space="preserve">between the training, test, and cross-validation subsets even for the largest sizes of the training data, models of insufficient DLCO suffer from over-fitting, i.e. poor generalizability for unseen data.</w:t>
      </w:r>
      <w:r>
        <w:t xml:space="preserve"> </w:t>
      </w:r>
      <w:r>
        <w:t xml:space="preserve">The generalizability of the models of DLCO expressed as percentage of the patient’s reference was substantially better.</w:t>
      </w:r>
    </w:p>
    <w:p>
      <w:pPr>
        <w:pStyle w:val="TextBody"/>
      </w:pPr>
      <w:r>
        <w:t xml:space="preserve">As investigated by absolute values of SHAP variable importance metrics</w:t>
      </w:r>
      <w:r>
        <w:t xml:space="preserve"> </w:t>
      </w:r>
      <w:r>
        <w:t xml:space="preserve">(22,23)</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S13</w:t>
      </w:r>
      <w:r>
        <w:t xml:space="preserve">,</w:t>
      </w:r>
      <w:r>
        <w:t xml:space="preserve"> </w:t>
      </w:r>
      <w:r>
        <w:rPr>
          <w:bCs/>
          <w:b/>
        </w:rPr>
        <w:t xml:space="preserve">Supplementary Table S9</w:t>
      </w:r>
      <w:r>
        <w:t xml:space="preserve">).</w:t>
      </w:r>
    </w:p>
    <w:p>
      <w:pPr>
        <w:pStyle w:val="TextBody"/>
      </w:pPr>
      <w:r>
        <w:t xml:space="preserve">Analysis of a correlation graph of the most influential explanatory factors for the predictions of DLCO and insufficient DLCO revealed associations between CT readouts of lung damage severity (CTSS, opacity, and high opacity, presence of any lesions, GGO and reticulations) and between readouts of acute COVID-19 severity (COVID-19 severity, ICU stay, hospital stay, anti-infective treatment during acute infection) (</w:t>
      </w:r>
      <w:r>
        <w:rPr>
          <w:bCs/>
          <w:b/>
        </w:rPr>
        <w:t xml:space="preserve">Supplementary Figure S14A</w:t>
      </w:r>
      <w:r>
        <w:t xml:space="preserve">).</w:t>
      </w:r>
      <w:r>
        <w:t xml:space="preserve"> </w:t>
      </w:r>
      <w:r>
        <w:t xml:space="preserve">In particular, CTSS and opacity (correlation coefficient, Spearman’s</w:t>
      </w:r>
      <w:r>
        <w:t xml:space="preserve"> </w:t>
      </w:r>
      <m:oMath>
        <m:r>
          <m:t>ρ</m:t>
        </m:r>
      </m:oMath>
      <w:r>
        <w:t xml:space="preserve"> </w:t>
      </w:r>
      <w:r>
        <w:t xml:space="preserve">= 0.83), CTSS and high opacity (</w:t>
      </w:r>
      <m:oMath>
        <m:r>
          <m:t>ρ</m:t>
        </m:r>
      </m:oMath>
      <w:r>
        <w:t xml:space="preserve"> </w:t>
      </w:r>
      <w:r>
        <w:t xml:space="preserve">= 0.72), and opacity and high opacity (0.86) were strongly inter-correlated.</w:t>
      </w:r>
      <w:r>
        <w:t xml:space="preserve"> </w:t>
      </w:r>
      <w:r>
        <w:t xml:space="preserve">CTSS values were significantly higher in observations with than without</w:t>
      </w:r>
      <w:r>
        <w:t xml:space="preserve"> </w:t>
      </w:r>
      <w:r>
        <w:t xml:space="preserve">GGO (difference of medians: 7 points, p &lt; 0.001, effect size: r = 0.92) and</w:t>
      </w:r>
      <w:r>
        <w:t xml:space="preserve"> </w:t>
      </w:r>
      <w:r>
        <w:t xml:space="preserve">reticulation (difference of medians: 7 points, p &lt; 0.001, effect size: r = 0.87) (</w:t>
      </w:r>
      <w:r>
        <w:rPr>
          <w:bCs/>
          <w:b/>
        </w:rPr>
        <w:t xml:space="preserve">Supplementary Figure S3B</w:t>
      </w:r>
      <w:r>
        <w:t xml:space="preserve">,</w:t>
      </w:r>
      <w:r>
        <w:t xml:space="preserve"> </w:t>
      </w:r>
      <w:r>
        <w:rPr>
          <w:bCs/>
          <w:b/>
        </w:rPr>
        <w:t xml:space="preserve">Supplementary Table S10</w:t>
      </w:r>
      <w:r>
        <w:t xml:space="preserve">).</w:t>
      </w:r>
      <w:r>
        <w:t xml:space="preserve"> </w:t>
      </w:r>
      <w:r>
        <w:t xml:space="preserve">Analogically, significantly higher opacity was detected in observations with than without</w:t>
      </w:r>
      <w:r>
        <w:t xml:space="preserve"> </w:t>
      </w:r>
      <w:r>
        <w:t xml:space="preserve">GGO (difference of medians: 0.53% of lung, p &lt; 0.001, effect size: r = 0.75) and</w:t>
      </w:r>
      <w:r>
        <w:t xml:space="preserve"> </w:t>
      </w:r>
      <w:r>
        <w:t xml:space="preserve">reticulation (difference of medians: 0.59% of lung, p &lt; 0.001, effect size: r = 0.78).</w:t>
      </w:r>
      <w:r>
        <w:t xml:space="preserve"> </w:t>
      </w:r>
      <w:r>
        <w:t xml:space="preserve">Effect sizes of these differences were large (</w:t>
      </w:r>
      <w:r>
        <w:rPr>
          <w:bCs/>
          <w:b/>
        </w:rPr>
        <w:t xml:space="preserve">Supplementary Figure S14B</w:t>
      </w:r>
      <w:r>
        <w:t xml:space="preserve">,</w:t>
      </w:r>
      <w:r>
        <w:t xml:space="preserve"> </w:t>
      </w:r>
      <w:r>
        <w:rPr>
          <w:bCs/>
          <w:b/>
        </w:rPr>
        <w:t xml:space="preserve">Supplementary Tables S11</w:t>
      </w:r>
      <w:r>
        <w:t xml:space="preserve">).</w:t>
      </w:r>
      <w:r>
        <w:t xml:space="preserve"> </w:t>
      </w:r>
      <w:r>
        <w:t xml:space="preserve">Collectively, the high co-linearity of the most important explanatory variables points suggests their redundancy.</w:t>
      </w:r>
      <w:r>
        <w:t xml:space="preserve"> </w:t>
      </w:r>
      <w:r>
        <w:t xml:space="preserve">Tackling this redundancy e.g. by regularization may control the over-fitting and improve accuracy of predictions of DLCO and reduced DLCO by machine learning algorithms.</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S12</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S13</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Fourth, as inferred from the analysis of learning curves, the models of insufficient DLCO suffered for substantial over-fitting.</w:t>
      </w:r>
      <w:r>
        <w:t xml:space="preserve"> </w:t>
      </w:r>
      <w:r>
        <w:t xml:space="preserve">While this problem can be partially traced back to an unsharp distinction between sufficient and reduced DLCO with the 80% reference cutoff, a modeling approach employing regularized machine learning algorithm like XGBoost or regularized neural networks may further improve quality of predictions.</w:t>
      </w:r>
      <w:r>
        <w:t xml:space="preserve"> </w:t>
      </w:r>
      <w:r>
        <w:t xml:space="preserve">Furthermore, most of the highly influential explanatory variables for predictions of DLCO and reduced DLCO, and in particular the CT readouts of lung damage were strongly inter-correlated, which raises questions about redundancy of explanatory variables.</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[0.23 - 0.45]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[0.64 - 0.89]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[0.26 - 0.47]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[0.27 - 0.48]</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[0.62 - 0.75]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CO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105" w:name="references"/>
    <w:p>
      <w:pPr>
        <w:pStyle w:val="Heading1"/>
      </w:pPr>
      <w:r>
        <w:t xml:space="preserve">References</w:t>
      </w:r>
    </w:p>
    <w:bookmarkStart w:id="104"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Viering2023"/>
    <w:p>
      <w:pPr>
        <w:pStyle w:val="Bibliography"/>
      </w:pPr>
      <w:r>
        <w:t xml:space="preserve">21.</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92">
        <w:r>
          <w:rPr>
            <w:rStyle w:val="InternetLink"/>
          </w:rPr>
          <w:t xml:space="preserve">10.1109/TPAMI.2022.3220744</w:t>
        </w:r>
      </w:hyperlink>
    </w:p>
    <w:bookmarkEnd w:id="93"/>
    <w:bookmarkStart w:id="95" w:name="ref-Covert2020"/>
    <w:p>
      <w:pPr>
        <w:pStyle w:val="Bibliography"/>
      </w:pPr>
      <w:r>
        <w:t xml:space="preserve">22.</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4">
        <w:r>
          <w:rPr>
            <w:rStyle w:val="InternetLink"/>
          </w:rPr>
          <w:t xml:space="preserve">https://arxiv.org/abs/2012.01536v3</w:t>
        </w:r>
      </w:hyperlink>
    </w:p>
    <w:bookmarkEnd w:id="95"/>
    <w:bookmarkStart w:id="97" w:name="ref-Lundberg2017"/>
    <w:p>
      <w:pPr>
        <w:pStyle w:val="Bibliography"/>
      </w:pPr>
      <w:r>
        <w:t xml:space="preserve">23.</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6">
        <w:r>
          <w:rPr>
            <w:rStyle w:val="InternetLink"/>
          </w:rPr>
          <w:t xml:space="preserve">https://arxiv.org/abs/1705.07874v2</w:t>
        </w:r>
      </w:hyperlink>
    </w:p>
    <w:bookmarkEnd w:id="97"/>
    <w:bookmarkStart w:id="99" w:name="ref-Mayer2023a"/>
    <w:p>
      <w:pPr>
        <w:pStyle w:val="Bibliography"/>
      </w:pPr>
      <w:r>
        <w:t xml:space="preserve">24.</w:t>
      </w:r>
      <w:r>
        <w:t xml:space="preserve"> </w:t>
      </w:r>
      <w:r>
        <w:t xml:space="preserve">	</w:t>
      </w:r>
      <w:r>
        <w:t xml:space="preserve">Mayer M, Watson D, Biecek P.</w:t>
      </w:r>
      <w:r>
        <w:t xml:space="preserve"> </w:t>
      </w:r>
      <w:r>
        <w:t xml:space="preserve">kernelshap: Kernel SHAP</w:t>
      </w:r>
      <w:r>
        <w:t xml:space="preserve">. (2023)</w:t>
      </w:r>
      <w:r>
        <w:t xml:space="preserve"> </w:t>
      </w:r>
      <w:hyperlink r:id="rId98">
        <w:r>
          <w:rPr>
            <w:rStyle w:val="InternetLink"/>
          </w:rPr>
          <w:t xml:space="preserve">https://cran.r-project.org/web/packages/kernelshap/index.html</w:t>
        </w:r>
      </w:hyperlink>
    </w:p>
    <w:bookmarkEnd w:id="99"/>
    <w:bookmarkStart w:id="101" w:name="ref-Csardi2006"/>
    <w:p>
      <w:pPr>
        <w:pStyle w:val="Bibliography"/>
      </w:pPr>
      <w:r>
        <w:t xml:space="preserve">25.</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00">
        <w:r>
          <w:rPr>
            <w:rStyle w:val="InternetLink"/>
          </w:rPr>
          <w:t xml:space="preserve">https://igraph.org</w:t>
        </w:r>
      </w:hyperlink>
    </w:p>
    <w:bookmarkEnd w:id="101"/>
    <w:bookmarkStart w:id="103" w:name="ref-Zhang2005"/>
    <w:p>
      <w:pPr>
        <w:pStyle w:val="Bibliography"/>
      </w:pPr>
      <w:r>
        <w:t xml:space="preserve">26.</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02">
        <w:r>
          <w:rPr>
            <w:rStyle w:val="InternetLink"/>
          </w:rPr>
          <w:t xml:space="preserve">10.2202/1544-6115.1128/MACHINEREADABLECITATION/RIS</w:t>
        </w:r>
      </w:hyperlink>
    </w:p>
    <w:bookmarkEnd w:id="103"/>
    <w:bookmarkEnd w:id="104"/>
    <w:bookmarkEnd w:id="105"/>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_rels/footnotes.xml.rels><?xml version="1.0" encoding="UTF-8"?><Relationships xmlns="http://schemas.openxmlformats.org/package/2006/relationships"><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2025-03-06T08:55:12Z</dcterms:created>
  <dcterms:modified xsi:type="dcterms:W3CDTF">2025-03-06T08:55:12Z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2025-03-06</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